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10952DE4"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F05BB4">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EC57A0">
        <w:rPr>
          <w:b/>
          <w:i/>
          <w:noProof/>
          <w:sz w:val="24"/>
          <w:szCs w:val="24"/>
          <w:lang w:eastAsia="ko-KR"/>
        </w:rPr>
        <w:t>6</w:t>
      </w:r>
      <w:r w:rsidR="00A06DC6">
        <w:rPr>
          <w:b/>
          <w:i/>
          <w:noProof/>
          <w:sz w:val="24"/>
          <w:szCs w:val="24"/>
          <w:lang w:eastAsia="ko-KR"/>
        </w:rPr>
        <w:t>12562</w:t>
      </w:r>
    </w:p>
    <w:bookmarkEnd w:id="0"/>
    <w:bookmarkEnd w:id="1"/>
    <w:p w14:paraId="7E9A5EFF" w14:textId="61A97808" w:rsidR="003D6F63" w:rsidRPr="003D6F63" w:rsidRDefault="00EC57A0" w:rsidP="003D6F63">
      <w:pPr>
        <w:tabs>
          <w:tab w:val="center" w:pos="4536"/>
          <w:tab w:val="right" w:pos="9072"/>
        </w:tabs>
        <w:rPr>
          <w:rFonts w:ascii="Arial" w:hAnsi="Arial" w:cs="Arial"/>
          <w:b/>
          <w:bCs/>
          <w:sz w:val="24"/>
          <w:szCs w:val="24"/>
        </w:rPr>
      </w:pPr>
      <w:r>
        <w:rPr>
          <w:rFonts w:ascii="Arial" w:hAnsi="Arial" w:cs="Arial"/>
          <w:b/>
          <w:bCs/>
          <w:sz w:val="24"/>
          <w:szCs w:val="24"/>
        </w:rPr>
        <w:t>Reno</w:t>
      </w:r>
      <w:r w:rsidR="003D6F63" w:rsidRPr="00EC57A0">
        <w:rPr>
          <w:rFonts w:ascii="Arial" w:hAnsi="Arial" w:cs="Arial"/>
          <w:b/>
          <w:bCs/>
          <w:sz w:val="24"/>
          <w:szCs w:val="24"/>
        </w:rPr>
        <w:t xml:space="preserve">, </w:t>
      </w:r>
      <w:r w:rsidRPr="00EC57A0">
        <w:rPr>
          <w:rFonts w:ascii="Arial" w:hAnsi="Arial" w:cs="Arial"/>
          <w:b/>
          <w:sz w:val="24"/>
          <w:shd w:val="clear" w:color="auto" w:fill="FFFFFF"/>
        </w:rPr>
        <w:t>USA</w:t>
      </w:r>
      <w:r w:rsidR="00614ED4" w:rsidRPr="00EC57A0">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4</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614ED4">
        <w:rPr>
          <w:rFonts w:ascii="Arial" w:hAnsi="Arial" w:cs="Arial"/>
          <w:b/>
          <w:bCs/>
          <w:sz w:val="24"/>
          <w:szCs w:val="24"/>
        </w:rPr>
        <w:t>1</w:t>
      </w:r>
      <w:r>
        <w:rPr>
          <w:rFonts w:ascii="Arial" w:hAnsi="Arial" w:cs="Arial"/>
          <w:b/>
          <w:bCs/>
          <w:sz w:val="24"/>
          <w:szCs w:val="24"/>
        </w:rPr>
        <w:t>8</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November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210B6A8"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C57A0">
        <w:rPr>
          <w:rFonts w:ascii="Arial" w:hAnsi="Arial"/>
          <w:sz w:val="24"/>
          <w:lang w:eastAsia="ko-KR"/>
        </w:rPr>
        <w:t>7</w:t>
      </w:r>
      <w:r w:rsidR="006F4D44">
        <w:rPr>
          <w:rFonts w:ascii="Arial" w:hAnsi="Arial"/>
          <w:sz w:val="24"/>
          <w:lang w:eastAsia="ko-KR"/>
        </w:rPr>
        <w:t>.</w:t>
      </w:r>
      <w:r w:rsidR="00123DEB">
        <w:rPr>
          <w:rFonts w:ascii="Arial" w:hAnsi="Arial"/>
          <w:sz w:val="24"/>
          <w:lang w:eastAsia="ko-KR"/>
        </w:rPr>
        <w:t>1</w:t>
      </w:r>
      <w:r w:rsidR="006F4D44">
        <w:rPr>
          <w:rFonts w:ascii="Arial" w:hAnsi="Arial"/>
          <w:sz w:val="24"/>
          <w:lang w:eastAsia="ko-KR"/>
        </w:rPr>
        <w:t>.</w:t>
      </w:r>
      <w:r w:rsidR="00123DEB">
        <w:rPr>
          <w:rFonts w:ascii="Arial" w:hAnsi="Arial"/>
          <w:sz w:val="24"/>
          <w:lang w:eastAsia="ko-KR"/>
        </w:rPr>
        <w:t>6</w:t>
      </w:r>
      <w:r w:rsidR="00EC57A0">
        <w:rPr>
          <w:rFonts w:ascii="Arial" w:hAnsi="Arial"/>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1E8514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C57A0">
        <w:rPr>
          <w:rFonts w:ascii="Arial" w:hAnsi="Arial"/>
          <w:sz w:val="24"/>
        </w:rPr>
        <w:t xml:space="preserve">Dynamic TDD Cross-link Interference Detection and Reporting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51C3C60C" w14:textId="4FC37CFB" w:rsidR="00E374FE" w:rsidRDefault="002F0A85" w:rsidP="00FE5E3A">
      <w:pPr>
        <w:pStyle w:val="Style1"/>
      </w:pPr>
      <w:r>
        <w:t xml:space="preserve">It was agreed in RAN1#86 that the NR should allow TDD operation on an unpaired spectrum where the transmission direction of most time resources can be dynamically changing. </w:t>
      </w:r>
      <w:r w:rsidR="00F05BB4">
        <w:t>In</w:t>
      </w:r>
      <w:r w:rsidR="00733B98">
        <w:t xml:space="preserve"> RAN1 #86</w:t>
      </w:r>
      <w:r w:rsidR="008A009D">
        <w:t>bis</w:t>
      </w:r>
      <w:r w:rsidR="00733B98">
        <w:t xml:space="preserve"> [2</w:t>
      </w:r>
      <w:r w:rsidR="008A009D">
        <w:t>], duplexing issues were discusse</w:t>
      </w:r>
      <w:r w:rsidR="00A04849">
        <w:t>d with the following conclusion and agreement</w:t>
      </w:r>
      <w:r w:rsidR="008A009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374FE" w:rsidRPr="00EB2245" w14:paraId="00878573" w14:textId="77777777" w:rsidTr="00DC25D1">
        <w:tc>
          <w:tcPr>
            <w:tcW w:w="10188" w:type="dxa"/>
            <w:shd w:val="clear" w:color="auto" w:fill="auto"/>
          </w:tcPr>
          <w:p w14:paraId="14EB28C6" w14:textId="77777777" w:rsidR="00F05BB4" w:rsidRPr="00272B8E" w:rsidRDefault="00F05BB4" w:rsidP="00F05BB4">
            <w:pPr>
              <w:rPr>
                <w:rFonts w:eastAsia="MS Mincho"/>
                <w:u w:val="single"/>
                <w:lang w:eastAsia="ja-JP"/>
              </w:rPr>
            </w:pPr>
            <w:r w:rsidRPr="00272B8E">
              <w:rPr>
                <w:rFonts w:eastAsia="MS Mincho"/>
                <w:u w:val="single"/>
                <w:lang w:eastAsia="ja-JP"/>
              </w:rPr>
              <w:t>Conclusion:</w:t>
            </w:r>
          </w:p>
          <w:p w14:paraId="1C87EAEF" w14:textId="77777777" w:rsidR="00F05BB4" w:rsidRPr="00272B8E" w:rsidRDefault="00F05BB4" w:rsidP="00A04849">
            <w:pPr>
              <w:numPr>
                <w:ilvl w:val="0"/>
                <w:numId w:val="10"/>
              </w:numPr>
              <w:spacing w:after="0"/>
            </w:pPr>
            <w:r w:rsidRPr="00272B8E">
              <w:t>Continue study considering some or all of the following aspects:</w:t>
            </w:r>
          </w:p>
          <w:p w14:paraId="254C8361" w14:textId="77777777" w:rsidR="00F05BB4" w:rsidRPr="00272B8E" w:rsidRDefault="00F05BB4" w:rsidP="00A04849">
            <w:pPr>
              <w:numPr>
                <w:ilvl w:val="1"/>
                <w:numId w:val="10"/>
              </w:numPr>
              <w:spacing w:after="0"/>
            </w:pPr>
            <w:r w:rsidRPr="00272B8E">
              <w:t>Deployment scenarios/bands, same-/cross-operator considerations</w:t>
            </w:r>
          </w:p>
          <w:p w14:paraId="0358EEB1" w14:textId="77777777" w:rsidR="00F05BB4" w:rsidRPr="00272B8E" w:rsidRDefault="00F05BB4" w:rsidP="00A04849">
            <w:pPr>
              <w:numPr>
                <w:ilvl w:val="1"/>
                <w:numId w:val="10"/>
              </w:numPr>
              <w:spacing w:after="0"/>
            </w:pPr>
            <w:r w:rsidRPr="00272B8E">
              <w:t>Resource assignments and rate adaptations</w:t>
            </w:r>
          </w:p>
          <w:p w14:paraId="05C9B699" w14:textId="77777777" w:rsidR="00F05BB4" w:rsidRPr="00272B8E" w:rsidRDefault="00F05BB4" w:rsidP="00A04849">
            <w:pPr>
              <w:numPr>
                <w:ilvl w:val="1"/>
                <w:numId w:val="10"/>
              </w:numPr>
              <w:spacing w:after="0"/>
            </w:pPr>
            <w:r w:rsidRPr="00272B8E">
              <w:t>Frame structure and HARQ/scheduling timing</w:t>
            </w:r>
          </w:p>
          <w:p w14:paraId="266ECB33" w14:textId="77777777" w:rsidR="00F05BB4" w:rsidRPr="00272B8E" w:rsidRDefault="00F05BB4" w:rsidP="00A04849">
            <w:pPr>
              <w:numPr>
                <w:ilvl w:val="1"/>
                <w:numId w:val="10"/>
              </w:numPr>
              <w:spacing w:after="0"/>
            </w:pPr>
            <w:r w:rsidRPr="00272B8E">
              <w:t>Measurements for cross-link interference management</w:t>
            </w:r>
          </w:p>
          <w:p w14:paraId="03761F2D" w14:textId="77777777" w:rsidR="00F05BB4" w:rsidRPr="00272B8E" w:rsidRDefault="00F05BB4" w:rsidP="00A04849">
            <w:pPr>
              <w:numPr>
                <w:ilvl w:val="1"/>
                <w:numId w:val="10"/>
              </w:numPr>
              <w:spacing w:after="0"/>
            </w:pPr>
            <w:r w:rsidRPr="00272B8E">
              <w:t>Signalling (e.g., OTA, backhaul, UE capability, etc.)</w:t>
            </w:r>
          </w:p>
          <w:p w14:paraId="6596A4F0" w14:textId="77777777" w:rsidR="00F05BB4" w:rsidRPr="00272B8E" w:rsidRDefault="00F05BB4" w:rsidP="00A04849">
            <w:pPr>
              <w:numPr>
                <w:ilvl w:val="1"/>
                <w:numId w:val="10"/>
              </w:numPr>
              <w:spacing w:after="0"/>
            </w:pPr>
            <w:r w:rsidRPr="00272B8E">
              <w:t>Cross-link interference management (IC/IS, power control, etc.)</w:t>
            </w:r>
          </w:p>
          <w:p w14:paraId="5F426FBD" w14:textId="77777777" w:rsidR="00F05BB4" w:rsidRPr="00272B8E" w:rsidRDefault="00F05BB4" w:rsidP="00A04849">
            <w:pPr>
              <w:numPr>
                <w:ilvl w:val="1"/>
                <w:numId w:val="10"/>
              </w:numPr>
              <w:spacing w:after="0"/>
            </w:pPr>
            <w:r w:rsidRPr="00272B8E">
              <w:t>Centralized vs. distributed interference/resource management</w:t>
            </w:r>
          </w:p>
          <w:p w14:paraId="12C59CB9" w14:textId="77777777" w:rsidR="00F05BB4" w:rsidRPr="00272B8E" w:rsidRDefault="00F05BB4" w:rsidP="00A04849">
            <w:pPr>
              <w:numPr>
                <w:ilvl w:val="1"/>
                <w:numId w:val="10"/>
              </w:numPr>
              <w:spacing w:after="0"/>
            </w:pPr>
            <w:r w:rsidRPr="00272B8E">
              <w:t>Beamforming/MIMO</w:t>
            </w:r>
          </w:p>
          <w:p w14:paraId="421A30BC" w14:textId="77777777" w:rsidR="00F05BB4" w:rsidRPr="00272B8E" w:rsidRDefault="00F05BB4" w:rsidP="00A04849">
            <w:pPr>
              <w:numPr>
                <w:ilvl w:val="1"/>
                <w:numId w:val="10"/>
              </w:numPr>
              <w:spacing w:after="0"/>
            </w:pPr>
            <w:r w:rsidRPr="00272B8E">
              <w:t>Duplex modes (e.g., FDD/TDD, FDM/TDM, etc.)</w:t>
            </w:r>
          </w:p>
          <w:p w14:paraId="01CC79BD" w14:textId="77777777" w:rsidR="00F05BB4" w:rsidRPr="00272B8E" w:rsidRDefault="00F05BB4" w:rsidP="00A04849">
            <w:pPr>
              <w:numPr>
                <w:ilvl w:val="1"/>
                <w:numId w:val="10"/>
              </w:numPr>
              <w:spacing w:after="0"/>
            </w:pPr>
            <w:r w:rsidRPr="00272B8E">
              <w:t>Latency reduction</w:t>
            </w:r>
          </w:p>
          <w:p w14:paraId="1C66E82E" w14:textId="77777777" w:rsidR="00F05BB4" w:rsidRPr="00272B8E" w:rsidRDefault="00F05BB4" w:rsidP="00A04849">
            <w:pPr>
              <w:numPr>
                <w:ilvl w:val="1"/>
                <w:numId w:val="10"/>
              </w:numPr>
              <w:spacing w:after="0"/>
            </w:pPr>
            <w:r w:rsidRPr="00272B8E">
              <w:t>Whether or not LTE interference/resource management can be used as a starting point (as applicable)</w:t>
            </w:r>
          </w:p>
          <w:p w14:paraId="32E6001C" w14:textId="77777777" w:rsidR="00F05BB4" w:rsidRPr="00272B8E" w:rsidRDefault="00F05BB4" w:rsidP="00A04849">
            <w:pPr>
              <w:numPr>
                <w:ilvl w:val="1"/>
                <w:numId w:val="10"/>
              </w:numPr>
              <w:spacing w:after="0"/>
            </w:pPr>
            <w:r w:rsidRPr="00272B8E">
              <w:t>Sensing</w:t>
            </w:r>
          </w:p>
          <w:p w14:paraId="3C9F0305" w14:textId="77777777" w:rsidR="00F05BB4" w:rsidRPr="00272B8E" w:rsidRDefault="00F05BB4" w:rsidP="00A04849">
            <w:pPr>
              <w:numPr>
                <w:ilvl w:val="1"/>
                <w:numId w:val="10"/>
              </w:numPr>
              <w:spacing w:after="0"/>
            </w:pPr>
            <w:r w:rsidRPr="00272B8E">
              <w:t>RS design</w:t>
            </w:r>
          </w:p>
          <w:p w14:paraId="3B43B048" w14:textId="77777777" w:rsidR="00F05BB4" w:rsidRPr="00272B8E" w:rsidRDefault="00F05BB4" w:rsidP="00A04849">
            <w:pPr>
              <w:numPr>
                <w:ilvl w:val="1"/>
                <w:numId w:val="10"/>
              </w:numPr>
              <w:spacing w:after="0"/>
            </w:pPr>
            <w:r w:rsidRPr="00272B8E">
              <w:t>Advanced receiver</w:t>
            </w:r>
          </w:p>
          <w:p w14:paraId="69AF6F80" w14:textId="77777777" w:rsidR="00E374FE" w:rsidRDefault="00F05BB4" w:rsidP="00A04849">
            <w:pPr>
              <w:numPr>
                <w:ilvl w:val="1"/>
                <w:numId w:val="10"/>
              </w:numPr>
              <w:spacing w:after="0"/>
            </w:pPr>
            <w:r w:rsidRPr="00272B8E">
              <w:t xml:space="preserve">Timing alignment between DL and UL </w:t>
            </w:r>
          </w:p>
          <w:p w14:paraId="26BFC4C4" w14:textId="77777777" w:rsidR="00A04849" w:rsidRDefault="00A04849" w:rsidP="00A04849">
            <w:pPr>
              <w:rPr>
                <w:highlight w:val="green"/>
                <w:lang w:val="en-US"/>
              </w:rPr>
            </w:pPr>
          </w:p>
          <w:p w14:paraId="0A556E26" w14:textId="77777777" w:rsidR="00A04849" w:rsidRPr="00100DE2" w:rsidRDefault="00A04849" w:rsidP="00A04849">
            <w:pPr>
              <w:rPr>
                <w:lang w:val="en-US"/>
              </w:rPr>
            </w:pPr>
            <w:r w:rsidRPr="00100DE2">
              <w:rPr>
                <w:highlight w:val="green"/>
                <w:lang w:val="en-US"/>
              </w:rPr>
              <w:t>Agreements:</w:t>
            </w:r>
          </w:p>
          <w:p w14:paraId="376A3532" w14:textId="404B6072" w:rsidR="00A04849" w:rsidRPr="00A04849" w:rsidRDefault="00A04849" w:rsidP="00A04849">
            <w:pPr>
              <w:numPr>
                <w:ilvl w:val="0"/>
                <w:numId w:val="10"/>
              </w:numPr>
              <w:spacing w:after="0"/>
              <w:rPr>
                <w:lang w:val="en-US"/>
              </w:rPr>
            </w:pPr>
            <w:r w:rsidRPr="00100DE2">
              <w:rPr>
                <w:lang w:val="en-US"/>
              </w:rPr>
              <w:t>Strive for a common framework for cross-link interference mitigation schemes for both paired and unpaired spectra</w:t>
            </w:r>
          </w:p>
        </w:tc>
      </w:tr>
    </w:tbl>
    <w:p w14:paraId="01398B63" w14:textId="7C09B168" w:rsidR="00FE5E3A" w:rsidRPr="00FE5E3A" w:rsidRDefault="00FE5E3A" w:rsidP="00FE5E3A">
      <w:pPr>
        <w:pStyle w:val="Style1"/>
      </w:pPr>
    </w:p>
    <w:p w14:paraId="18686A26" w14:textId="12518E2B" w:rsidR="00D569E7" w:rsidRDefault="003677DC" w:rsidP="00FE5E3A">
      <w:pPr>
        <w:pStyle w:val="Style1"/>
      </w:pPr>
      <w:r>
        <w:t>In this contributi</w:t>
      </w:r>
      <w:r w:rsidR="004741CC">
        <w:t xml:space="preserve">on, we focus on </w:t>
      </w:r>
      <w:r>
        <w:t>c</w:t>
      </w:r>
      <w:r w:rsidR="008A009D">
        <w:t>ross-link</w:t>
      </w:r>
      <w:r>
        <w:t xml:space="preserve"> interference </w:t>
      </w:r>
      <w:r w:rsidR="0009402F">
        <w:t xml:space="preserve">(CCI) </w:t>
      </w:r>
      <w:r>
        <w:t>management</w:t>
      </w:r>
      <w:r w:rsidR="004741CC">
        <w:t xml:space="preserve"> for dynamic TDD </w:t>
      </w:r>
      <w:r w:rsidR="00772959">
        <w:t>(or</w:t>
      </w:r>
      <w:r w:rsidR="004741CC">
        <w:t xml:space="preserve"> more generally uncoordinated TDD</w:t>
      </w:r>
      <w:r w:rsidR="00772959">
        <w:t xml:space="preserve"> [2])</w:t>
      </w:r>
      <w:r>
        <w:t>. In par</w:t>
      </w:r>
      <w:r w:rsidR="004741CC">
        <w:t xml:space="preserve">ticular, we discuss the </w:t>
      </w:r>
      <w:r w:rsidR="00772959">
        <w:t>need for</w:t>
      </w:r>
      <w:r w:rsidR="004741CC">
        <w:t xml:space="preserve"> </w:t>
      </w:r>
      <w:r w:rsidR="0009402F">
        <w:t>CCI</w:t>
      </w:r>
      <w:r w:rsidR="00772959">
        <w:t xml:space="preserve"> detection and reporting.</w:t>
      </w:r>
      <w:r w:rsidR="00A66C0A">
        <w:t xml:space="preserve"> </w:t>
      </w:r>
      <w:r w:rsidR="00C96F19">
        <w:t xml:space="preserve">A CCI avoidance based on channel sensing is discussed in our companion contribution [5]. </w:t>
      </w:r>
    </w:p>
    <w:p w14:paraId="24A5E2F7" w14:textId="24B1AADF" w:rsidR="00AB7125" w:rsidRDefault="003026F3" w:rsidP="002F0A85">
      <w:pPr>
        <w:pStyle w:val="Heading1"/>
        <w:tabs>
          <w:tab w:val="num" w:pos="0"/>
        </w:tabs>
        <w:ind w:left="799" w:hanging="799"/>
      </w:pPr>
      <w:r>
        <w:t xml:space="preserve">Cross-link interference </w:t>
      </w:r>
      <w:r w:rsidR="002412FD">
        <w:t>detection and reporting</w:t>
      </w:r>
      <w:r w:rsidR="004818EF">
        <w:t xml:space="preserve"> </w:t>
      </w:r>
      <w:r>
        <w:t>for dynamic TDD</w:t>
      </w:r>
    </w:p>
    <w:p w14:paraId="79F093EA" w14:textId="532CD05B" w:rsidR="00292E27" w:rsidRDefault="001541F8" w:rsidP="00C9191F">
      <w:pPr>
        <w:pStyle w:val="Style1"/>
      </w:pPr>
      <w:r>
        <w:t xml:space="preserve">The issue of cross-link interference as a result of dynamic TDD or uncoordinated have been discussed extensively [2][3]. </w:t>
      </w:r>
      <w:r w:rsidR="0009402F">
        <w:t xml:space="preserve">CCI </w:t>
      </w:r>
      <w:r w:rsidR="009F45AB">
        <w:t>issues were studied for LTE eIMTA and certain mitigation te</w:t>
      </w:r>
      <w:r w:rsidR="00BB769A">
        <w:t>chniques were standardized, including</w:t>
      </w:r>
      <w:r w:rsidR="009F45AB">
        <w:t xml:space="preserve"> semi-static adaptive configurations of fixed and flexible subframe sets (maximum rate of once every 10ms), and subframe set specific UL power control and DL CSI measurement. NR is expected to support deployment scenarios supported by LTE, hence the techniques s</w:t>
      </w:r>
      <w:r w:rsidR="009E5000">
        <w:t>tandardized for LTE eIMTA should naturally be</w:t>
      </w:r>
      <w:r w:rsidR="009F45AB">
        <w:t xml:space="preserve"> the starting point for NR</w:t>
      </w:r>
      <w:r w:rsidR="009E5000">
        <w:t>, particularly for the scenarios where the transmission direction of time resources is still changing semi-statically over time</w:t>
      </w:r>
      <w:r w:rsidR="009F45AB">
        <w:t>.</w:t>
      </w:r>
      <w:r w:rsidR="00C9191F">
        <w:t xml:space="preserve"> </w:t>
      </w:r>
    </w:p>
    <w:p w14:paraId="0AE50E80" w14:textId="1DE231CF" w:rsidR="00706224" w:rsidRDefault="00292E27" w:rsidP="00414844">
      <w:pPr>
        <w:pStyle w:val="Style1"/>
      </w:pPr>
      <w:r>
        <w:lastRenderedPageBreak/>
        <w:t xml:space="preserve">When the </w:t>
      </w:r>
      <w:r w:rsidR="004D3106">
        <w:t>transmission direction of time resources</w:t>
      </w:r>
      <w:r>
        <w:t xml:space="preserve"> can dynamically change over time</w:t>
      </w:r>
      <w:r w:rsidR="004D3106">
        <w:t>,</w:t>
      </w:r>
      <w:r>
        <w:t xml:space="preserve"> further enhancement would be </w:t>
      </w:r>
      <w:r w:rsidR="00687C73">
        <w:t>beneficial</w:t>
      </w:r>
      <w:r>
        <w:t xml:space="preserve"> to handle the </w:t>
      </w:r>
      <w:r w:rsidR="00BB769A">
        <w:t xml:space="preserve">resulting </w:t>
      </w:r>
      <w:r>
        <w:t xml:space="preserve">dynamic </w:t>
      </w:r>
      <w:r w:rsidR="0009402F">
        <w:t>CCI</w:t>
      </w:r>
      <w:r w:rsidR="00771DCC">
        <w:t xml:space="preserve"> and</w:t>
      </w:r>
      <w:r>
        <w:t xml:space="preserve"> </w:t>
      </w:r>
      <w:r w:rsidR="00771DCC">
        <w:t>n</w:t>
      </w:r>
      <w:r>
        <w:t xml:space="preserve">etwork coordination </w:t>
      </w:r>
      <w:r w:rsidR="00BB769A">
        <w:t xml:space="preserve">will remain an important </w:t>
      </w:r>
      <w:r w:rsidR="00813CA4">
        <w:t>tool for NR</w:t>
      </w:r>
      <w:r w:rsidR="00BB769A">
        <w:t xml:space="preserve">. As </w:t>
      </w:r>
      <w:r w:rsidR="00A06DC6">
        <w:t>discussed in [3]</w:t>
      </w:r>
      <w:r w:rsidR="00706224">
        <w:t>,</w:t>
      </w:r>
      <w:r w:rsidR="006B41B2">
        <w:t xml:space="preserve"> </w:t>
      </w:r>
      <w:r w:rsidR="0009402F">
        <w:t>CCI</w:t>
      </w:r>
      <w:r w:rsidR="006B41B2">
        <w:t xml:space="preserve"> generally depends on the scheduler decision and UE locations.</w:t>
      </w:r>
      <w:r w:rsidR="00414844">
        <w:t xml:space="preserve"> </w:t>
      </w:r>
      <w:r w:rsidR="00706224">
        <w:t xml:space="preserve">A </w:t>
      </w:r>
      <w:r w:rsidR="004C4AB8">
        <w:t>possible</w:t>
      </w:r>
      <w:r w:rsidR="00706224">
        <w:t xml:space="preserve"> approach to mitigate </w:t>
      </w:r>
      <w:r w:rsidR="0009402F">
        <w:t>CCI</w:t>
      </w:r>
      <w:r w:rsidR="00706224">
        <w:t xml:space="preserve"> </w:t>
      </w:r>
      <w:r w:rsidR="004C4AB8">
        <w:t>is</w:t>
      </w:r>
      <w:r w:rsidR="00706224">
        <w:t xml:space="preserve"> to identify the victim and the aggressor nodes</w:t>
      </w:r>
      <w:r w:rsidR="00813CA4">
        <w:t>,</w:t>
      </w:r>
      <w:r w:rsidR="00706224">
        <w:t xml:space="preserve"> and </w:t>
      </w:r>
      <w:r w:rsidR="00813CA4">
        <w:t xml:space="preserve">subsequently </w:t>
      </w:r>
      <w:r w:rsidR="00706224">
        <w:t xml:space="preserve">schedule the transmission/reception </w:t>
      </w:r>
      <w:r w:rsidR="00813CA4">
        <w:t xml:space="preserve">activities </w:t>
      </w:r>
      <w:r w:rsidR="00706224">
        <w:t xml:space="preserve">of </w:t>
      </w:r>
      <w:r w:rsidR="0094033C">
        <w:t xml:space="preserve">either </w:t>
      </w:r>
      <w:r w:rsidR="00706224">
        <w:t>the victims</w:t>
      </w:r>
      <w:r w:rsidR="0094033C">
        <w:t xml:space="preserve"> or</w:t>
      </w:r>
      <w:r w:rsidR="00706224">
        <w:t xml:space="preserve"> the aggressors </w:t>
      </w:r>
      <w:r w:rsidR="00FF3B9E">
        <w:t>nodes (or both)</w:t>
      </w:r>
      <w:r w:rsidR="00C8048D">
        <w:t xml:space="preserve"> </w:t>
      </w:r>
      <w:r w:rsidR="00706224">
        <w:t xml:space="preserve">in protected </w:t>
      </w:r>
      <w:r w:rsidR="00322832">
        <w:t xml:space="preserve">time </w:t>
      </w:r>
      <w:r w:rsidR="00C8048D">
        <w:t>resources</w:t>
      </w:r>
      <w:r w:rsidR="00813CA4">
        <w:t xml:space="preserve"> (NR fixed </w:t>
      </w:r>
      <w:r w:rsidR="00322832">
        <w:t xml:space="preserve">time </w:t>
      </w:r>
      <w:r w:rsidR="00C8048D">
        <w:t>resources</w:t>
      </w:r>
      <w:r w:rsidR="00813CA4">
        <w:t xml:space="preserve">) with semi-statically configured </w:t>
      </w:r>
      <w:r w:rsidR="00C8048D">
        <w:t>transmission direction</w:t>
      </w:r>
      <w:r w:rsidR="00706224">
        <w:t xml:space="preserve"> (analogous to the fixed subfram</w:t>
      </w:r>
      <w:r w:rsidR="00813CA4">
        <w:t xml:space="preserve">e for eIMTA) and the rest in non-protected </w:t>
      </w:r>
      <w:r w:rsidR="00322832">
        <w:t xml:space="preserve">time </w:t>
      </w:r>
      <w:r w:rsidR="00C8048D">
        <w:t>resource</w:t>
      </w:r>
      <w:r w:rsidR="00813CA4">
        <w:t xml:space="preserve"> (NR flexible </w:t>
      </w:r>
      <w:r w:rsidR="00322832">
        <w:t xml:space="preserve">time </w:t>
      </w:r>
      <w:r w:rsidR="00C8048D">
        <w:t>resources</w:t>
      </w:r>
      <w:r w:rsidR="00813CA4">
        <w:t xml:space="preserve">) where </w:t>
      </w:r>
      <w:r w:rsidR="00C8048D">
        <w:t>transmission direction</w:t>
      </w:r>
      <w:r w:rsidR="00813CA4">
        <w:t xml:space="preserve"> can dynamically change (analogous to the flexible subframe for eIMTA).</w:t>
      </w:r>
      <w:r w:rsidR="00706224">
        <w:t xml:space="preserve"> </w:t>
      </w:r>
      <w:r w:rsidR="00813CA4">
        <w:t xml:space="preserve">The set of NR fixed </w:t>
      </w:r>
      <w:r w:rsidR="00322832">
        <w:t xml:space="preserve">time </w:t>
      </w:r>
      <w:r w:rsidR="00C8048D">
        <w:t>resources</w:t>
      </w:r>
      <w:r w:rsidR="00813CA4">
        <w:t xml:space="preserve"> and NR flexible</w:t>
      </w:r>
      <w:r w:rsidR="00322832">
        <w:t xml:space="preserve"> time</w:t>
      </w:r>
      <w:r w:rsidR="00813CA4">
        <w:t xml:space="preserve"> </w:t>
      </w:r>
      <w:r w:rsidR="00C8048D">
        <w:t>resources</w:t>
      </w:r>
      <w:r w:rsidR="00813CA4">
        <w:t xml:space="preserve"> can </w:t>
      </w:r>
      <w:r w:rsidR="00FF3B9E">
        <w:t>be coordinated among the gNBs</w:t>
      </w:r>
      <w:r w:rsidR="00813CA4">
        <w:t xml:space="preserve"> in a semi-static manner. This is illustrated in Figure 1. </w:t>
      </w:r>
    </w:p>
    <w:p w14:paraId="4DADCECF" w14:textId="5D661F24" w:rsidR="00813CA4" w:rsidRDefault="00322832" w:rsidP="00813CA4">
      <w:pPr>
        <w:pStyle w:val="Style1"/>
        <w:keepNext/>
      </w:pPr>
      <w:r>
        <w:object w:dxaOrig="10256" w:dyaOrig="3768" w14:anchorId="241B6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57.7pt" o:ole="">
            <v:imagedata r:id="rId8" o:title=""/>
          </v:shape>
          <o:OLEObject Type="Embed" ProgID="Visio.Drawing.11" ShapeID="_x0000_i1025" DrawAspect="Content" ObjectID="_1539761306" r:id="rId9"/>
        </w:object>
      </w:r>
    </w:p>
    <w:p w14:paraId="47BF6EAE" w14:textId="063FE976" w:rsidR="00813CA4" w:rsidRDefault="00813CA4" w:rsidP="00813CA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Illustration of NR fixed </w:t>
      </w:r>
      <w:r w:rsidR="00322832">
        <w:t xml:space="preserve">time </w:t>
      </w:r>
      <w:r w:rsidR="00EE0A81">
        <w:t>resource</w:t>
      </w:r>
      <w:r>
        <w:t xml:space="preserve"> (where </w:t>
      </w:r>
      <w:r w:rsidR="00EE0A81">
        <w:t>transmission direction</w:t>
      </w:r>
      <w:r>
        <w:t xml:space="preserve"> is semi-statically configured) and NR flexible </w:t>
      </w:r>
      <w:r w:rsidR="00322832">
        <w:t xml:space="preserve">time </w:t>
      </w:r>
      <w:r w:rsidR="00EE0A81">
        <w:t>resource</w:t>
      </w:r>
      <w:r>
        <w:t xml:space="preserve"> (where </w:t>
      </w:r>
      <w:r w:rsidR="00EE0A81">
        <w:t>transmission direction</w:t>
      </w:r>
      <w:r>
        <w:t xml:space="preserve"> can dynamically change) </w:t>
      </w:r>
    </w:p>
    <w:p w14:paraId="10BFDA04" w14:textId="77777777" w:rsidR="00C32C5C" w:rsidRDefault="00C32C5C" w:rsidP="00C32C5C">
      <w:pPr>
        <w:pStyle w:val="Style1"/>
        <w:ind w:firstLine="0"/>
        <w:rPr>
          <w:b/>
        </w:rPr>
      </w:pPr>
    </w:p>
    <w:p w14:paraId="78BCDF6C" w14:textId="57392F8C" w:rsidR="00706224" w:rsidRPr="00772959" w:rsidRDefault="00706224" w:rsidP="00C32C5C">
      <w:pPr>
        <w:pStyle w:val="Style1"/>
        <w:ind w:firstLine="0"/>
      </w:pPr>
      <w:r w:rsidRPr="00772959">
        <w:rPr>
          <w:b/>
        </w:rPr>
        <w:t xml:space="preserve">Observation 1: </w:t>
      </w:r>
      <w:r w:rsidRPr="00772959">
        <w:t xml:space="preserve">Protected </w:t>
      </w:r>
      <w:r w:rsidR="00FF3B9E" w:rsidRPr="00772959">
        <w:t xml:space="preserve">time </w:t>
      </w:r>
      <w:r w:rsidRPr="00772959">
        <w:t xml:space="preserve">resources </w:t>
      </w:r>
      <w:r w:rsidR="003C001B">
        <w:t xml:space="preserve">with semi-statically configured transmission direction </w:t>
      </w:r>
      <w:r w:rsidR="00FF3B9E" w:rsidRPr="00772959">
        <w:t xml:space="preserve">(NR fixed time resources) </w:t>
      </w:r>
      <w:r w:rsidRPr="00772959">
        <w:t>can be</w:t>
      </w:r>
      <w:r w:rsidR="00FF3B9E" w:rsidRPr="00772959">
        <w:t xml:space="preserve"> configured via network coordination for scheduling either the victim or the aggressor </w:t>
      </w:r>
      <w:r w:rsidR="004A48EA" w:rsidRPr="00772959">
        <w:t xml:space="preserve">nodes to mitigate </w:t>
      </w:r>
      <w:r w:rsidR="0009402F">
        <w:t>CCI</w:t>
      </w:r>
      <w:r w:rsidR="004A48EA" w:rsidRPr="00772959">
        <w:t>.</w:t>
      </w:r>
      <w:r w:rsidR="003C001B">
        <w:t xml:space="preserve"> The remaining time resource </w:t>
      </w:r>
      <w:r w:rsidR="0023405E">
        <w:t xml:space="preserve">can be </w:t>
      </w:r>
      <w:r w:rsidR="005E297B">
        <w:t>utilized</w:t>
      </w:r>
      <w:r w:rsidR="0023405E">
        <w:t xml:space="preserve"> for</w:t>
      </w:r>
      <w:r w:rsidR="003C001B">
        <w:t xml:space="preserve"> dynamically configured transmission direction (NR flexible time resources).</w:t>
      </w:r>
    </w:p>
    <w:p w14:paraId="48F75FC6" w14:textId="4B1F8865" w:rsidR="007C5999" w:rsidRDefault="002C79E4" w:rsidP="0057419F">
      <w:pPr>
        <w:pStyle w:val="Style1"/>
        <w:rPr>
          <w:lang w:eastAsia="ko-KR"/>
        </w:rPr>
      </w:pPr>
      <w:r>
        <w:t xml:space="preserve">In LTE eIMTA, </w:t>
      </w:r>
      <w:r w:rsidR="001E537A">
        <w:t xml:space="preserve">although </w:t>
      </w:r>
      <w:r>
        <w:t>it is possible to estimate the</w:t>
      </w:r>
      <w:r w:rsidR="001E537A">
        <w:t xml:space="preserve"> possible</w:t>
      </w:r>
      <w:r>
        <w:t xml:space="preserve"> presence of </w:t>
      </w:r>
      <w:r w:rsidR="001E537A">
        <w:t>dynamic interference</w:t>
      </w:r>
      <w:r>
        <w:t xml:space="preserve"> through CSI measurement reports by the UEs, the source of interference cannot be </w:t>
      </w:r>
      <w:r w:rsidR="001E537A">
        <w:t>identified</w:t>
      </w:r>
      <w:r w:rsidR="00B93002">
        <w:t xml:space="preserve"> in general</w:t>
      </w:r>
      <w:r w:rsidR="000D7B82">
        <w:t>, e.g. it is not possible for the network to determine</w:t>
      </w:r>
      <w:r w:rsidR="005D3ABC">
        <w:t xml:space="preserve"> with certainty</w:t>
      </w:r>
      <w:r w:rsidR="000D7B82">
        <w:t xml:space="preserve"> if the interference source is a DL signal or an UL signal, </w:t>
      </w:r>
      <w:r w:rsidR="00117E6F">
        <w:t>as well as</w:t>
      </w:r>
      <w:r w:rsidR="000D7B82">
        <w:t xml:space="preserve"> the identity of the interferer. </w:t>
      </w:r>
      <w:r w:rsidR="001C1534">
        <w:t xml:space="preserve">Allowing the network to identify the source of interference enables the network to take </w:t>
      </w:r>
      <w:r w:rsidR="00F44056">
        <w:t xml:space="preserve">a </w:t>
      </w:r>
      <w:r w:rsidR="001C1534">
        <w:t xml:space="preserve">more targeted </w:t>
      </w:r>
      <w:r w:rsidR="00DE48C1">
        <w:t xml:space="preserve">action to resolve </w:t>
      </w:r>
      <w:r w:rsidR="00AE3D78">
        <w:t>a</w:t>
      </w:r>
      <w:r w:rsidR="00DE48C1">
        <w:t xml:space="preserve"> pro</w:t>
      </w:r>
      <w:r w:rsidR="00B93002">
        <w:t>blematic interference condition. For example, in the case of UL-to-DL CCI, the aggressor UE can be scheduled in an NR fixed time resource, rather than potentially over-crowding the victim UEs in the NR fixed time resources or over-provisioning the NR fixed time resources.</w:t>
      </w:r>
      <w:r w:rsidR="0009402F">
        <w:t xml:space="preserve"> Therefore, it would </w:t>
      </w:r>
      <w:r w:rsidR="00F5543D">
        <w:t>be beneficial to consider methods that can enable identification of victim and aggressor (</w:t>
      </w:r>
      <w:r w:rsidR="00A06DC6">
        <w:t xml:space="preserve">i.e. </w:t>
      </w:r>
      <w:r w:rsidR="00F5543D">
        <w:t>CCI so</w:t>
      </w:r>
      <w:r w:rsidR="00A06DC6">
        <w:t>urce) nodes for NR. To achieve this,</w:t>
      </w:r>
      <w:r w:rsidR="00F5543D">
        <w:t xml:space="preserve"> a measurement signal can be introduced to support </w:t>
      </w:r>
      <w:r w:rsidR="00F5543D" w:rsidRPr="00F5543D">
        <w:rPr>
          <w:lang w:eastAsia="ko-KR"/>
        </w:rPr>
        <w:t>cross-link interference (CCI) detection by the gNB (DL-to-UL CCI) and the UE (UL-to-DL CCI)</w:t>
      </w:r>
      <w:r w:rsidR="00FD0496">
        <w:rPr>
          <w:lang w:eastAsia="ko-KR"/>
        </w:rPr>
        <w:t xml:space="preserve"> and identification of the CCI source</w:t>
      </w:r>
      <w:r w:rsidR="00F5543D" w:rsidRPr="00F5543D">
        <w:rPr>
          <w:lang w:eastAsia="ko-KR"/>
        </w:rPr>
        <w:t>.</w:t>
      </w:r>
      <w:r w:rsidR="00F5543D">
        <w:rPr>
          <w:lang w:eastAsia="ko-KR"/>
        </w:rPr>
        <w:t xml:space="preserve"> </w:t>
      </w:r>
      <w:r w:rsidR="00FD0496">
        <w:rPr>
          <w:lang w:eastAsia="ko-KR"/>
        </w:rPr>
        <w:t xml:space="preserve">A similar observation is also done e.g. in [7]. </w:t>
      </w:r>
      <w:r w:rsidR="00F5543D">
        <w:rPr>
          <w:lang w:eastAsia="ko-KR"/>
        </w:rPr>
        <w:t>To minimize specification and implementation complexity, measurement signal based on reusing an existing physical signal would be desirable</w:t>
      </w:r>
      <w:r w:rsidR="00A06DC6">
        <w:rPr>
          <w:lang w:eastAsia="ko-KR"/>
        </w:rPr>
        <w:t xml:space="preserve"> (e.g. DM-RS)</w:t>
      </w:r>
      <w:r w:rsidR="00F5543D">
        <w:rPr>
          <w:lang w:eastAsia="ko-KR"/>
        </w:rPr>
        <w:t>.</w:t>
      </w:r>
      <w:r w:rsidR="00D43567">
        <w:rPr>
          <w:lang w:eastAsia="ko-KR"/>
        </w:rPr>
        <w:t xml:space="preserve"> Further discussions on the design principle of the </w:t>
      </w:r>
      <w:r w:rsidR="00A06DC6">
        <w:rPr>
          <w:lang w:eastAsia="ko-KR"/>
        </w:rPr>
        <w:t xml:space="preserve">DM-RS as </w:t>
      </w:r>
      <w:r w:rsidR="00D43567">
        <w:rPr>
          <w:lang w:eastAsia="ko-KR"/>
        </w:rPr>
        <w:t xml:space="preserve">measurement RS can be found </w:t>
      </w:r>
      <w:r w:rsidR="00C96F19">
        <w:rPr>
          <w:lang w:eastAsia="ko-KR"/>
        </w:rPr>
        <w:t>in our companion contribution [6</w:t>
      </w:r>
      <w:r w:rsidR="00D43567">
        <w:rPr>
          <w:lang w:eastAsia="ko-KR"/>
        </w:rPr>
        <w:t>].</w:t>
      </w:r>
    </w:p>
    <w:p w14:paraId="1C1E0F36" w14:textId="12A8434A" w:rsidR="007C5999" w:rsidRDefault="00F5543D" w:rsidP="00B93002">
      <w:pPr>
        <w:pStyle w:val="Style1"/>
        <w:ind w:firstLine="0"/>
      </w:pPr>
      <w:r>
        <w:rPr>
          <w:b/>
        </w:rPr>
        <w:t>Observation 2</w:t>
      </w:r>
      <w:r w:rsidR="0020128F" w:rsidRPr="00C32C5C">
        <w:rPr>
          <w:b/>
        </w:rPr>
        <w:t>:</w:t>
      </w:r>
      <w:r w:rsidR="0020128F">
        <w:t xml:space="preserve"> Accurate identification of </w:t>
      </w:r>
      <w:r w:rsidRPr="00772959">
        <w:t xml:space="preserve">victim and </w:t>
      </w:r>
      <w:r>
        <w:t xml:space="preserve">aggressor (CCI source) nodes </w:t>
      </w:r>
      <w:r w:rsidRPr="00772959">
        <w:t xml:space="preserve">(UEs and gNBs) </w:t>
      </w:r>
      <w:r w:rsidR="0020128F">
        <w:t xml:space="preserve">can be beneficial for efficient </w:t>
      </w:r>
      <w:r w:rsidR="0009402F">
        <w:t>CCI</w:t>
      </w:r>
      <w:r w:rsidR="0020128F">
        <w:t xml:space="preserve"> mitigation.</w:t>
      </w:r>
    </w:p>
    <w:p w14:paraId="53A3A094" w14:textId="752088C4" w:rsidR="000A312D" w:rsidRPr="00504062" w:rsidRDefault="00B67955" w:rsidP="00504062">
      <w:pPr>
        <w:pStyle w:val="Style1"/>
        <w:ind w:firstLine="0"/>
      </w:pPr>
      <w:r w:rsidRPr="00504062">
        <w:rPr>
          <w:b/>
        </w:rPr>
        <w:t>Proposal 1</w:t>
      </w:r>
      <w:r w:rsidR="000A312D" w:rsidRPr="00504062">
        <w:rPr>
          <w:b/>
        </w:rPr>
        <w:t>:</w:t>
      </w:r>
      <w:r w:rsidR="000A312D" w:rsidRPr="00504062">
        <w:t xml:space="preserve"> </w:t>
      </w:r>
      <w:r w:rsidR="000A312D" w:rsidRPr="00F5543D">
        <w:t>Cross-link interference</w:t>
      </w:r>
      <w:r w:rsidRPr="00F5543D">
        <w:t xml:space="preserve"> detection and reporting by the gNB (DL-to-UL CCI) and the UE (UL-to-DL CCI) should be supported for dynamic TDD and uncoordinated TDD.</w:t>
      </w:r>
      <w:r w:rsidRPr="00504062">
        <w:t xml:space="preserve">   </w:t>
      </w:r>
      <w:r w:rsidR="000A312D" w:rsidRPr="00504062">
        <w:t xml:space="preserve"> </w:t>
      </w:r>
    </w:p>
    <w:p w14:paraId="4E0FEE8D" w14:textId="577E7FD6" w:rsidR="00D43567" w:rsidRPr="00504062" w:rsidRDefault="000B32DC" w:rsidP="00504062">
      <w:pPr>
        <w:pStyle w:val="Style1"/>
        <w:ind w:firstLine="0"/>
      </w:pPr>
      <w:r w:rsidRPr="00504062">
        <w:rPr>
          <w:b/>
        </w:rPr>
        <w:lastRenderedPageBreak/>
        <w:t>Proposal</w:t>
      </w:r>
      <w:r w:rsidR="00B67955" w:rsidRPr="00504062">
        <w:rPr>
          <w:b/>
        </w:rPr>
        <w:t xml:space="preserve"> 2</w:t>
      </w:r>
      <w:r w:rsidRPr="00504062">
        <w:rPr>
          <w:b/>
        </w:rPr>
        <w:t>:</w:t>
      </w:r>
      <w:r w:rsidRPr="00504062">
        <w:t xml:space="preserve"> </w:t>
      </w:r>
      <w:r w:rsidR="008E4551" w:rsidRPr="00F5543D">
        <w:t xml:space="preserve">Measurement signal </w:t>
      </w:r>
      <w:r w:rsidR="00F5543D">
        <w:t>can</w:t>
      </w:r>
      <w:r w:rsidR="008E4551" w:rsidRPr="00F5543D">
        <w:t xml:space="preserve"> be introduced to support cross-link interference </w:t>
      </w:r>
      <w:r w:rsidR="00EC4DB3" w:rsidRPr="00F5543D">
        <w:t xml:space="preserve">(CCI) </w:t>
      </w:r>
      <w:r w:rsidR="008E4551" w:rsidRPr="00F5543D">
        <w:t xml:space="preserve">detection </w:t>
      </w:r>
      <w:r w:rsidR="00F5543D">
        <w:t xml:space="preserve">and interference source identification </w:t>
      </w:r>
      <w:r w:rsidR="008E4551" w:rsidRPr="00F5543D">
        <w:t xml:space="preserve">by the gNB </w:t>
      </w:r>
      <w:r w:rsidR="00EC4DB3" w:rsidRPr="00F5543D">
        <w:t xml:space="preserve">(DL-to-UL CCI) </w:t>
      </w:r>
      <w:r w:rsidR="008E4551" w:rsidRPr="00F5543D">
        <w:t>and the UE</w:t>
      </w:r>
      <w:r w:rsidR="00EC4DB3" w:rsidRPr="00F5543D">
        <w:t xml:space="preserve"> (UL-to-DL CCI)</w:t>
      </w:r>
      <w:r w:rsidR="008E4551" w:rsidRPr="00F5543D">
        <w:t>.</w:t>
      </w:r>
      <w:r w:rsidR="00EC4DB3" w:rsidRPr="00F5543D">
        <w:t xml:space="preserve"> </w:t>
      </w:r>
      <w:r w:rsidR="00F5543D" w:rsidRPr="00F5543D">
        <w:t>It is preferable to consider measurement signal based on an existing physical signal</w:t>
      </w:r>
      <w:r w:rsidR="00A06DC6">
        <w:t xml:space="preserve"> (e.g. DM-RS)</w:t>
      </w:r>
      <w:r w:rsidR="00F5543D" w:rsidRPr="00F5543D">
        <w:t>.</w:t>
      </w:r>
    </w:p>
    <w:p w14:paraId="613E77E4" w14:textId="77777777" w:rsidR="003D3E2E" w:rsidRDefault="003D3E2E" w:rsidP="00900885">
      <w:pPr>
        <w:pStyle w:val="Heading1"/>
        <w:tabs>
          <w:tab w:val="num" w:pos="0"/>
        </w:tabs>
        <w:ind w:left="799" w:hanging="799"/>
      </w:pPr>
      <w:r>
        <w:rPr>
          <w:rFonts w:hint="eastAsia"/>
        </w:rPr>
        <w:t>Conclusions</w:t>
      </w:r>
    </w:p>
    <w:p w14:paraId="6F1588B9" w14:textId="3F5ED5DC" w:rsidR="004B3F71" w:rsidRDefault="004B3F71" w:rsidP="004B3F71">
      <w:pPr>
        <w:pStyle w:val="Style1"/>
        <w:rPr>
          <w:lang w:eastAsia="zh-CN"/>
        </w:rPr>
      </w:pPr>
      <w:r w:rsidRPr="00BF18A8">
        <w:rPr>
          <w:lang w:eastAsia="zh-CN"/>
        </w:rPr>
        <w:t>This contribution considered</w:t>
      </w:r>
      <w:r>
        <w:t xml:space="preserve"> </w:t>
      </w:r>
      <w:r w:rsidR="002B0A83">
        <w:t>a cross-link interference management scheme based on CCI detection and network coordination</w:t>
      </w:r>
      <w:r>
        <w:t>.</w:t>
      </w:r>
      <w:r>
        <w:rPr>
          <w:lang w:eastAsia="zh-CN"/>
        </w:rPr>
        <w:t xml:space="preserve"> In particular, the following </w:t>
      </w:r>
      <w:r w:rsidR="00F461E6">
        <w:rPr>
          <w:lang w:eastAsia="zh-CN"/>
        </w:rPr>
        <w:t>is</w:t>
      </w:r>
      <w:bookmarkStart w:id="4" w:name="_GoBack"/>
      <w:bookmarkEnd w:id="4"/>
      <w:r>
        <w:rPr>
          <w:lang w:eastAsia="zh-CN"/>
        </w:rPr>
        <w:t xml:space="preserve"> proposed. </w:t>
      </w:r>
    </w:p>
    <w:p w14:paraId="2ACCF091" w14:textId="0F50DE2F" w:rsidR="00F5543D" w:rsidRPr="00F5543D" w:rsidRDefault="00F5543D" w:rsidP="00F5543D">
      <w:pPr>
        <w:pStyle w:val="Style1"/>
        <w:ind w:firstLine="0"/>
      </w:pPr>
      <w:r w:rsidRPr="00772959">
        <w:rPr>
          <w:b/>
        </w:rPr>
        <w:t xml:space="preserve">Observation 1: </w:t>
      </w:r>
      <w:r w:rsidRPr="00772959">
        <w:t xml:space="preserve">Protected time resources </w:t>
      </w:r>
      <w:r>
        <w:t xml:space="preserve">with semi-statically configured transmission direction </w:t>
      </w:r>
      <w:r w:rsidRPr="00772959">
        <w:t xml:space="preserve">(NR fixed time resources) can be configured via network coordination for scheduling either the victim or the aggressor nodes to mitigate </w:t>
      </w:r>
      <w:r>
        <w:t>CCI</w:t>
      </w:r>
      <w:r w:rsidRPr="00772959">
        <w:t>.</w:t>
      </w:r>
      <w:r>
        <w:t xml:space="preserve"> The remaining time resource can be utilized for dynamically configured transmission direction (NR flexible time resources).</w:t>
      </w:r>
    </w:p>
    <w:p w14:paraId="5664A8AB" w14:textId="5C2A1B70" w:rsidR="00F5543D" w:rsidRDefault="00F5543D" w:rsidP="00F5543D">
      <w:pPr>
        <w:pStyle w:val="Style1"/>
        <w:ind w:firstLine="0"/>
      </w:pPr>
      <w:r>
        <w:rPr>
          <w:b/>
        </w:rPr>
        <w:t>Observation 2</w:t>
      </w:r>
      <w:r w:rsidRPr="00C32C5C">
        <w:rPr>
          <w:b/>
        </w:rPr>
        <w:t>:</w:t>
      </w:r>
      <w:r>
        <w:t xml:space="preserve"> Accurate identification of </w:t>
      </w:r>
      <w:r w:rsidRPr="00772959">
        <w:t xml:space="preserve">victim and </w:t>
      </w:r>
      <w:r>
        <w:t xml:space="preserve">aggressor (CCI source) nodes </w:t>
      </w:r>
      <w:r w:rsidRPr="00772959">
        <w:t xml:space="preserve">(UEs and gNBs) </w:t>
      </w:r>
      <w:r>
        <w:t>can be beneficial for efficient CCI mitigation.</w:t>
      </w:r>
    </w:p>
    <w:p w14:paraId="7E8E434B" w14:textId="77777777" w:rsidR="00504062" w:rsidRPr="00504062" w:rsidRDefault="00504062" w:rsidP="00504062">
      <w:pPr>
        <w:pStyle w:val="Style1"/>
        <w:ind w:firstLine="0"/>
      </w:pPr>
      <w:r w:rsidRPr="00504062">
        <w:rPr>
          <w:b/>
        </w:rPr>
        <w:t>Proposal 1:</w:t>
      </w:r>
      <w:r w:rsidRPr="00504062">
        <w:t xml:space="preserve"> </w:t>
      </w:r>
      <w:r w:rsidRPr="00F5543D">
        <w:t>Cross-link interference detection and reporting by the gNB (DL-to-UL CCI) and the UE (UL-to-DL CCI) should be supported for dynamic TDD and uncoordinated TDD.</w:t>
      </w:r>
      <w:r w:rsidRPr="00504062">
        <w:t xml:space="preserve">    </w:t>
      </w:r>
    </w:p>
    <w:p w14:paraId="32B885C3" w14:textId="7C42FD9C" w:rsidR="00504062" w:rsidRPr="00504062" w:rsidRDefault="00504062" w:rsidP="00504062">
      <w:pPr>
        <w:pStyle w:val="Style1"/>
        <w:ind w:firstLine="0"/>
      </w:pPr>
      <w:r w:rsidRPr="00504062">
        <w:rPr>
          <w:b/>
        </w:rPr>
        <w:t>Proposal 2:</w:t>
      </w:r>
      <w:r w:rsidRPr="00504062">
        <w:t xml:space="preserve"> </w:t>
      </w:r>
      <w:r w:rsidRPr="00F5543D">
        <w:t xml:space="preserve">Measurement signal </w:t>
      </w:r>
      <w:r>
        <w:t>can</w:t>
      </w:r>
      <w:r w:rsidRPr="00F5543D">
        <w:t xml:space="preserve"> be introduced to support cross-link interference (CCI) detection </w:t>
      </w:r>
      <w:r>
        <w:t xml:space="preserve">and interference source identification </w:t>
      </w:r>
      <w:r w:rsidRPr="00F5543D">
        <w:t>by the gNB (DL-to-UL CCI) and the UE (UL-to-DL CCI). It is preferable to consider measurement signal based on an existing physical signal</w:t>
      </w:r>
      <w:r w:rsidR="00A06DC6">
        <w:t xml:space="preserve"> (e.g. DM-RS)</w:t>
      </w:r>
      <w:r w:rsidRPr="00F5543D">
        <w:t>.</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072ACDA0" w14:textId="69A16B07"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w:t>
      </w:r>
      <w:r w:rsidR="008A009D">
        <w:rPr>
          <w:rFonts w:eastAsia="MS Mincho"/>
          <w:lang w:eastAsia="ja-JP"/>
        </w:rPr>
        <w:t>bis, October 2016</w:t>
      </w:r>
    </w:p>
    <w:p w14:paraId="25342A57" w14:textId="320D2306" w:rsidR="008A009D" w:rsidRPr="00C96F19" w:rsidRDefault="008A009D" w:rsidP="00C96F19">
      <w:pPr>
        <w:pStyle w:val="ListParagraph"/>
        <w:numPr>
          <w:ilvl w:val="0"/>
          <w:numId w:val="9"/>
        </w:numPr>
        <w:spacing w:after="0" w:line="360" w:lineRule="auto"/>
        <w:ind w:leftChars="0"/>
        <w:jc w:val="both"/>
        <w:rPr>
          <w:rFonts w:eastAsia="MS Mincho"/>
          <w:lang w:eastAsia="ja-JP"/>
        </w:rPr>
      </w:pPr>
      <w:r>
        <w:rPr>
          <w:rFonts w:eastAsia="MS Mincho"/>
          <w:lang w:eastAsia="ja-JP"/>
        </w:rPr>
        <w:t>R1-1609125 Inter-cell Interference Management for Uncoordinated TDD, Samsung</w:t>
      </w:r>
    </w:p>
    <w:p w14:paraId="7B8CF50A" w14:textId="7DF26EED" w:rsidR="008A009D" w:rsidRDefault="00A06DC6"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R1-1612560</w:t>
      </w:r>
      <w:r w:rsidR="008A009D">
        <w:rPr>
          <w:rFonts w:eastAsia="MS Mincho"/>
          <w:lang w:eastAsia="ja-JP"/>
        </w:rPr>
        <w:t xml:space="preserve"> Views on NR Duplexing, Samsung</w:t>
      </w:r>
    </w:p>
    <w:p w14:paraId="13569D0C" w14:textId="1F65F327" w:rsidR="00C9191F" w:rsidRDefault="00A06DC6" w:rsidP="002B0A83">
      <w:pPr>
        <w:pStyle w:val="ListParagraph"/>
        <w:numPr>
          <w:ilvl w:val="0"/>
          <w:numId w:val="9"/>
        </w:numPr>
        <w:spacing w:after="0" w:line="360" w:lineRule="auto"/>
        <w:ind w:leftChars="0"/>
        <w:jc w:val="both"/>
        <w:rPr>
          <w:rFonts w:eastAsia="MS Mincho"/>
          <w:lang w:eastAsia="ja-JP"/>
        </w:rPr>
      </w:pPr>
      <w:r>
        <w:rPr>
          <w:rFonts w:eastAsia="MS Mincho"/>
          <w:lang w:eastAsia="ja-JP"/>
        </w:rPr>
        <w:t>R1-1612566</w:t>
      </w:r>
      <w:r w:rsidR="00C9191F">
        <w:rPr>
          <w:rFonts w:eastAsia="MS Mincho"/>
          <w:lang w:eastAsia="ja-JP"/>
        </w:rPr>
        <w:t xml:space="preserve"> </w:t>
      </w:r>
      <w:r w:rsidR="002B0A83" w:rsidRPr="002B0A83">
        <w:rPr>
          <w:rFonts w:eastAsia="MS Mincho"/>
          <w:lang w:eastAsia="ja-JP"/>
        </w:rPr>
        <w:t>Dynamic TDD for Latency Reduction in DL</w:t>
      </w:r>
      <w:r w:rsidR="00C9191F">
        <w:rPr>
          <w:rFonts w:eastAsia="MS Mincho"/>
          <w:lang w:eastAsia="ja-JP"/>
        </w:rPr>
        <w:t>, Samsung</w:t>
      </w:r>
    </w:p>
    <w:p w14:paraId="21FCFAE1" w14:textId="6DE2087A" w:rsidR="00A66C0A" w:rsidRDefault="00A06DC6" w:rsidP="002B0A83">
      <w:pPr>
        <w:pStyle w:val="ListParagraph"/>
        <w:numPr>
          <w:ilvl w:val="0"/>
          <w:numId w:val="9"/>
        </w:numPr>
        <w:spacing w:after="0" w:line="360" w:lineRule="auto"/>
        <w:ind w:leftChars="0"/>
        <w:jc w:val="both"/>
        <w:rPr>
          <w:rFonts w:eastAsia="MS Mincho"/>
          <w:lang w:eastAsia="ja-JP"/>
        </w:rPr>
      </w:pPr>
      <w:r>
        <w:rPr>
          <w:rFonts w:eastAsia="MS Mincho"/>
          <w:lang w:eastAsia="ja-JP"/>
        </w:rPr>
        <w:t>R1-1612563</w:t>
      </w:r>
      <w:r w:rsidR="00A66C0A">
        <w:rPr>
          <w:rFonts w:eastAsia="MS Mincho"/>
          <w:lang w:eastAsia="ja-JP"/>
        </w:rPr>
        <w:t xml:space="preserve"> Dynamic TDD Cross-link Interference Avoidance based on Channel Sensing, Samsung</w:t>
      </w:r>
    </w:p>
    <w:p w14:paraId="02BA2A47" w14:textId="35AB97BD" w:rsidR="00D14694" w:rsidRDefault="00A06DC6" w:rsidP="00C96F19">
      <w:pPr>
        <w:pStyle w:val="ListParagraph"/>
        <w:numPr>
          <w:ilvl w:val="0"/>
          <w:numId w:val="9"/>
        </w:numPr>
        <w:spacing w:after="0" w:line="360" w:lineRule="auto"/>
        <w:ind w:leftChars="0"/>
        <w:jc w:val="both"/>
        <w:rPr>
          <w:rFonts w:eastAsia="MS Mincho"/>
          <w:lang w:eastAsia="ja-JP"/>
        </w:rPr>
      </w:pPr>
      <w:r>
        <w:rPr>
          <w:rFonts w:eastAsia="MS Mincho"/>
          <w:lang w:eastAsia="ja-JP"/>
        </w:rPr>
        <w:t>R1-1612564</w:t>
      </w:r>
      <w:r w:rsidR="00A66C0A">
        <w:rPr>
          <w:rFonts w:eastAsia="MS Mincho"/>
          <w:lang w:eastAsia="ja-JP"/>
        </w:rPr>
        <w:t xml:space="preserve"> RS design for Cross-link Interference for Dynamic TDD, Samsung</w:t>
      </w:r>
    </w:p>
    <w:p w14:paraId="179E19C1" w14:textId="56569A5E" w:rsidR="00FD0496" w:rsidRPr="00C96F19" w:rsidRDefault="00FD0496" w:rsidP="00C96F19">
      <w:pPr>
        <w:pStyle w:val="ListParagraph"/>
        <w:numPr>
          <w:ilvl w:val="0"/>
          <w:numId w:val="9"/>
        </w:numPr>
        <w:spacing w:after="0" w:line="360" w:lineRule="auto"/>
        <w:ind w:leftChars="0"/>
        <w:jc w:val="both"/>
        <w:rPr>
          <w:rFonts w:eastAsia="MS Mincho"/>
          <w:lang w:eastAsia="ja-JP"/>
        </w:rPr>
      </w:pPr>
      <w:r>
        <w:rPr>
          <w:rFonts w:eastAsia="MS Mincho"/>
          <w:lang w:eastAsia="ja-JP"/>
        </w:rPr>
        <w:t>R1-1608790 Interference management for dynamic TDD and flexible duplex, CATT</w:t>
      </w:r>
    </w:p>
    <w:sectPr w:rsidR="00FD0496" w:rsidRPr="00C96F19"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E538F" w14:textId="77777777" w:rsidR="00C865BA" w:rsidRDefault="00C865BA">
      <w:r>
        <w:separator/>
      </w:r>
    </w:p>
  </w:endnote>
  <w:endnote w:type="continuationSeparator" w:id="0">
    <w:p w14:paraId="3F98B427" w14:textId="77777777" w:rsidR="00C865BA" w:rsidRDefault="00C86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2B20C" w14:textId="77777777" w:rsidR="00C865BA" w:rsidRDefault="00C865BA">
      <w:r>
        <w:separator/>
      </w:r>
    </w:p>
  </w:footnote>
  <w:footnote w:type="continuationSeparator" w:id="0">
    <w:p w14:paraId="6741110F" w14:textId="77777777" w:rsidR="00C865BA" w:rsidRDefault="00C86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12"/>
  </w:num>
  <w:num w:numId="5">
    <w:abstractNumId w:val="1"/>
  </w:num>
  <w:num w:numId="6">
    <w:abstractNumId w:val="8"/>
  </w:num>
  <w:num w:numId="7">
    <w:abstractNumId w:val="6"/>
  </w:num>
  <w:num w:numId="8">
    <w:abstractNumId w:val="11"/>
  </w:num>
  <w:num w:numId="9">
    <w:abstractNumId w:val="10"/>
  </w:num>
  <w:num w:numId="10">
    <w:abstractNumId w:val="4"/>
  </w:num>
  <w:num w:numId="11">
    <w:abstractNumId w:val="9"/>
  </w:num>
  <w:num w:numId="12">
    <w:abstractNumId w:val="5"/>
  </w:num>
  <w:num w:numId="13">
    <w:abstractNumId w:val="0"/>
  </w:num>
  <w:num w:numId="14">
    <w:abstractNumId w:val="2"/>
  </w:num>
  <w:num w:numId="1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119C"/>
    <w:rsid w:val="00072453"/>
    <w:rsid w:val="00073C42"/>
    <w:rsid w:val="000755B5"/>
    <w:rsid w:val="00076FF5"/>
    <w:rsid w:val="000775AB"/>
    <w:rsid w:val="000801C3"/>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25B1"/>
    <w:rsid w:val="000B2B68"/>
    <w:rsid w:val="000B3064"/>
    <w:rsid w:val="000B32DC"/>
    <w:rsid w:val="000B4FD7"/>
    <w:rsid w:val="000C074E"/>
    <w:rsid w:val="000C14C1"/>
    <w:rsid w:val="000C2DAC"/>
    <w:rsid w:val="000C3A4B"/>
    <w:rsid w:val="000C3C17"/>
    <w:rsid w:val="000C650F"/>
    <w:rsid w:val="000D00DD"/>
    <w:rsid w:val="000D1026"/>
    <w:rsid w:val="000D19F4"/>
    <w:rsid w:val="000D25AC"/>
    <w:rsid w:val="000D2EB0"/>
    <w:rsid w:val="000D4806"/>
    <w:rsid w:val="000D5200"/>
    <w:rsid w:val="000D758A"/>
    <w:rsid w:val="000D77B5"/>
    <w:rsid w:val="000D7B82"/>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7248"/>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1534"/>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37A"/>
    <w:rsid w:val="001E5959"/>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2E27"/>
    <w:rsid w:val="00293E6E"/>
    <w:rsid w:val="00294508"/>
    <w:rsid w:val="002958FD"/>
    <w:rsid w:val="00295B0A"/>
    <w:rsid w:val="00296433"/>
    <w:rsid w:val="00296E64"/>
    <w:rsid w:val="002A0D1E"/>
    <w:rsid w:val="002A1E47"/>
    <w:rsid w:val="002A3A3D"/>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0A85"/>
    <w:rsid w:val="002F28D8"/>
    <w:rsid w:val="002F47AD"/>
    <w:rsid w:val="002F5790"/>
    <w:rsid w:val="002F6FEC"/>
    <w:rsid w:val="003006CA"/>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2832"/>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13C6"/>
    <w:rsid w:val="003C1E94"/>
    <w:rsid w:val="003C2C5D"/>
    <w:rsid w:val="003C32F0"/>
    <w:rsid w:val="003C53D6"/>
    <w:rsid w:val="003C5A7F"/>
    <w:rsid w:val="003C5BAF"/>
    <w:rsid w:val="003C5DB0"/>
    <w:rsid w:val="003C5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4844"/>
    <w:rsid w:val="004149D5"/>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6D77"/>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73B7"/>
    <w:rsid w:val="004B02A2"/>
    <w:rsid w:val="004B0763"/>
    <w:rsid w:val="004B2890"/>
    <w:rsid w:val="004B37FF"/>
    <w:rsid w:val="004B38E1"/>
    <w:rsid w:val="004B3F71"/>
    <w:rsid w:val="004B3FBF"/>
    <w:rsid w:val="004B461B"/>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3106"/>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501E42"/>
    <w:rsid w:val="00503979"/>
    <w:rsid w:val="00503993"/>
    <w:rsid w:val="00503F9D"/>
    <w:rsid w:val="00504062"/>
    <w:rsid w:val="00507091"/>
    <w:rsid w:val="005074C4"/>
    <w:rsid w:val="005079CC"/>
    <w:rsid w:val="005109A0"/>
    <w:rsid w:val="0051414A"/>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7B39"/>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C9C"/>
    <w:rsid w:val="0063477E"/>
    <w:rsid w:val="00640F56"/>
    <w:rsid w:val="00642A83"/>
    <w:rsid w:val="00643083"/>
    <w:rsid w:val="006458B7"/>
    <w:rsid w:val="00645E63"/>
    <w:rsid w:val="00647880"/>
    <w:rsid w:val="0065003C"/>
    <w:rsid w:val="006501F2"/>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FE3"/>
    <w:rsid w:val="006811C4"/>
    <w:rsid w:val="0068173F"/>
    <w:rsid w:val="006826A1"/>
    <w:rsid w:val="006826B6"/>
    <w:rsid w:val="00683595"/>
    <w:rsid w:val="00684B10"/>
    <w:rsid w:val="00687C73"/>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1E14"/>
    <w:rsid w:val="006B2332"/>
    <w:rsid w:val="006B347E"/>
    <w:rsid w:val="006B41B2"/>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85"/>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5999"/>
    <w:rsid w:val="007C6231"/>
    <w:rsid w:val="007C7CD0"/>
    <w:rsid w:val="007D3572"/>
    <w:rsid w:val="007D3B92"/>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09D"/>
    <w:rsid w:val="008A026C"/>
    <w:rsid w:val="008A3312"/>
    <w:rsid w:val="008A4260"/>
    <w:rsid w:val="008A4B3A"/>
    <w:rsid w:val="008A4D2F"/>
    <w:rsid w:val="008A4E83"/>
    <w:rsid w:val="008A60FF"/>
    <w:rsid w:val="008A6641"/>
    <w:rsid w:val="008A7736"/>
    <w:rsid w:val="008A7A57"/>
    <w:rsid w:val="008B2121"/>
    <w:rsid w:val="008B2920"/>
    <w:rsid w:val="008B494B"/>
    <w:rsid w:val="008B4C75"/>
    <w:rsid w:val="008B6030"/>
    <w:rsid w:val="008B7A5C"/>
    <w:rsid w:val="008C3FDD"/>
    <w:rsid w:val="008C5D63"/>
    <w:rsid w:val="008C7A40"/>
    <w:rsid w:val="008D324A"/>
    <w:rsid w:val="008D5A50"/>
    <w:rsid w:val="008D5BAB"/>
    <w:rsid w:val="008E0543"/>
    <w:rsid w:val="008E1091"/>
    <w:rsid w:val="008E158C"/>
    <w:rsid w:val="008E1CBB"/>
    <w:rsid w:val="008E1EB9"/>
    <w:rsid w:val="008E4551"/>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033C"/>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B1AD8"/>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E5000"/>
    <w:rsid w:val="009F0D5B"/>
    <w:rsid w:val="009F0F9B"/>
    <w:rsid w:val="009F1A2B"/>
    <w:rsid w:val="009F307D"/>
    <w:rsid w:val="009F34AE"/>
    <w:rsid w:val="009F451D"/>
    <w:rsid w:val="009F45AB"/>
    <w:rsid w:val="009F5B4F"/>
    <w:rsid w:val="00A02D0F"/>
    <w:rsid w:val="00A04849"/>
    <w:rsid w:val="00A06DC6"/>
    <w:rsid w:val="00A0774C"/>
    <w:rsid w:val="00A109F3"/>
    <w:rsid w:val="00A11BF8"/>
    <w:rsid w:val="00A12A90"/>
    <w:rsid w:val="00A16523"/>
    <w:rsid w:val="00A17773"/>
    <w:rsid w:val="00A207CA"/>
    <w:rsid w:val="00A21216"/>
    <w:rsid w:val="00A22E67"/>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35BA5"/>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6795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002"/>
    <w:rsid w:val="00B93E09"/>
    <w:rsid w:val="00B93EE0"/>
    <w:rsid w:val="00B96BFE"/>
    <w:rsid w:val="00BA0940"/>
    <w:rsid w:val="00BA267A"/>
    <w:rsid w:val="00BA3A0E"/>
    <w:rsid w:val="00BA3D0B"/>
    <w:rsid w:val="00BA46FD"/>
    <w:rsid w:val="00BA5A0C"/>
    <w:rsid w:val="00BB0244"/>
    <w:rsid w:val="00BB12BB"/>
    <w:rsid w:val="00BB308A"/>
    <w:rsid w:val="00BB3744"/>
    <w:rsid w:val="00BB3C1A"/>
    <w:rsid w:val="00BB4764"/>
    <w:rsid w:val="00BB4775"/>
    <w:rsid w:val="00BB5293"/>
    <w:rsid w:val="00BB53C4"/>
    <w:rsid w:val="00BB69E5"/>
    <w:rsid w:val="00BB6A0E"/>
    <w:rsid w:val="00BB6B48"/>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17BCC"/>
    <w:rsid w:val="00C20C78"/>
    <w:rsid w:val="00C215D0"/>
    <w:rsid w:val="00C232F1"/>
    <w:rsid w:val="00C23C48"/>
    <w:rsid w:val="00C2617F"/>
    <w:rsid w:val="00C27490"/>
    <w:rsid w:val="00C311DA"/>
    <w:rsid w:val="00C32284"/>
    <w:rsid w:val="00C328DB"/>
    <w:rsid w:val="00C32AC2"/>
    <w:rsid w:val="00C32C5C"/>
    <w:rsid w:val="00C33BE7"/>
    <w:rsid w:val="00C34682"/>
    <w:rsid w:val="00C359D2"/>
    <w:rsid w:val="00C37ED2"/>
    <w:rsid w:val="00C42ED0"/>
    <w:rsid w:val="00C43D0A"/>
    <w:rsid w:val="00C44D97"/>
    <w:rsid w:val="00C44FE3"/>
    <w:rsid w:val="00C50936"/>
    <w:rsid w:val="00C511E0"/>
    <w:rsid w:val="00C516E6"/>
    <w:rsid w:val="00C52045"/>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8D"/>
    <w:rsid w:val="00C8049E"/>
    <w:rsid w:val="00C824C3"/>
    <w:rsid w:val="00C83756"/>
    <w:rsid w:val="00C852E7"/>
    <w:rsid w:val="00C8628A"/>
    <w:rsid w:val="00C865BA"/>
    <w:rsid w:val="00C865CD"/>
    <w:rsid w:val="00C865E0"/>
    <w:rsid w:val="00C877FD"/>
    <w:rsid w:val="00C87E29"/>
    <w:rsid w:val="00C9191F"/>
    <w:rsid w:val="00C9223F"/>
    <w:rsid w:val="00C93759"/>
    <w:rsid w:val="00C9424E"/>
    <w:rsid w:val="00C943D1"/>
    <w:rsid w:val="00C94D61"/>
    <w:rsid w:val="00C9621E"/>
    <w:rsid w:val="00C96F19"/>
    <w:rsid w:val="00CA18DB"/>
    <w:rsid w:val="00CA220D"/>
    <w:rsid w:val="00CA22E2"/>
    <w:rsid w:val="00CA37ED"/>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21563"/>
    <w:rsid w:val="00D21ABC"/>
    <w:rsid w:val="00D2719E"/>
    <w:rsid w:val="00D27B3D"/>
    <w:rsid w:val="00D3051E"/>
    <w:rsid w:val="00D32097"/>
    <w:rsid w:val="00D33009"/>
    <w:rsid w:val="00D33ACD"/>
    <w:rsid w:val="00D348E4"/>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8023F"/>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4DB3"/>
    <w:rsid w:val="00EC57A0"/>
    <w:rsid w:val="00EC6877"/>
    <w:rsid w:val="00ED00DE"/>
    <w:rsid w:val="00ED048F"/>
    <w:rsid w:val="00ED0A8D"/>
    <w:rsid w:val="00ED66F9"/>
    <w:rsid w:val="00EE082D"/>
    <w:rsid w:val="00EE08C5"/>
    <w:rsid w:val="00EE0A81"/>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5BB4"/>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1886"/>
    <w:rsid w:val="00FA1977"/>
    <w:rsid w:val="00FA37F1"/>
    <w:rsid w:val="00FA7C6D"/>
    <w:rsid w:val="00FB03EA"/>
    <w:rsid w:val="00FB1962"/>
    <w:rsid w:val="00FB4F84"/>
    <w:rsid w:val="00FB52F3"/>
    <w:rsid w:val="00FB556B"/>
    <w:rsid w:val="00FB6B74"/>
    <w:rsid w:val="00FB7598"/>
    <w:rsid w:val="00FB7645"/>
    <w:rsid w:val="00FB7C17"/>
    <w:rsid w:val="00FC0D33"/>
    <w:rsid w:val="00FC1D4F"/>
    <w:rsid w:val="00FC2BA3"/>
    <w:rsid w:val="00FC6C75"/>
    <w:rsid w:val="00FC71D7"/>
    <w:rsid w:val="00FC79E0"/>
    <w:rsid w:val="00FD0496"/>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BA957-6800-49F8-B12D-025C73E3E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2312</TotalTime>
  <Pages>3</Pages>
  <Words>1146</Words>
  <Characters>6534</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Boon Loong Ng</cp:lastModifiedBy>
  <cp:revision>93</cp:revision>
  <cp:lastPrinted>2012-03-15T10:36:00Z</cp:lastPrinted>
  <dcterms:created xsi:type="dcterms:W3CDTF">2016-05-11T19:33:00Z</dcterms:created>
  <dcterms:modified xsi:type="dcterms:W3CDTF">2016-11-04T15:42:00Z</dcterms:modified>
</cp:coreProperties>
</file>